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Default="008530E4" w:rsidP="008530E4">
      <w:pPr>
        <w:jc w:val="center"/>
        <w:rPr>
          <w:rFonts w:ascii="Times New Roman" w:hAnsi="Times New Roman" w:cs="Times New Roman"/>
          <w:b/>
          <w:sz w:val="28"/>
          <w:szCs w:val="28"/>
        </w:rPr>
      </w:pPr>
      <w:r w:rsidRPr="008530E4">
        <w:rPr>
          <w:rFonts w:ascii="Times New Roman" w:hAnsi="Times New Roman" w:cs="Times New Roman"/>
          <w:b/>
          <w:sz w:val="32"/>
          <w:szCs w:val="32"/>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и включение в кадровый резерв </w:t>
      </w:r>
      <w:r w:rsidR="00C71B12">
        <w:rPr>
          <w:rFonts w:ascii="Times New Roman" w:hAnsi="Times New Roman" w:cs="Times New Roman"/>
          <w:b/>
          <w:sz w:val="32"/>
          <w:szCs w:val="32"/>
        </w:rPr>
        <w:t>У</w:t>
      </w:r>
      <w:r w:rsidRPr="008530E4">
        <w:rPr>
          <w:rFonts w:ascii="Times New Roman" w:hAnsi="Times New Roman" w:cs="Times New Roman"/>
          <w:b/>
          <w:sz w:val="32"/>
          <w:szCs w:val="32"/>
        </w:rPr>
        <w:t>ФАС</w:t>
      </w:r>
      <w:r w:rsidR="00C71B12">
        <w:rPr>
          <w:rFonts w:ascii="Times New Roman" w:hAnsi="Times New Roman" w:cs="Times New Roman"/>
          <w:b/>
          <w:sz w:val="32"/>
          <w:szCs w:val="32"/>
        </w:rPr>
        <w:t xml:space="preserve"> по Республике Алтай</w:t>
      </w:r>
      <w:r w:rsidRPr="008530E4">
        <w:rPr>
          <w:rFonts w:ascii="Times New Roman" w:hAnsi="Times New Roman" w:cs="Times New Roman"/>
          <w:b/>
          <w:sz w:val="32"/>
          <w:szCs w:val="32"/>
        </w:rPr>
        <w:t xml:space="preserve"> России.</w:t>
      </w:r>
      <w:r w:rsidR="009B0B49">
        <w:rPr>
          <w:rFonts w:ascii="Times New Roman" w:hAnsi="Times New Roman" w:cs="Times New Roman"/>
          <w:b/>
          <w:sz w:val="32"/>
          <w:szCs w:val="32"/>
        </w:rPr>
        <w:br/>
      </w:r>
      <w:bookmarkStart w:id="0" w:name="_GoBack"/>
      <w:bookmarkEnd w:id="0"/>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41.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sz w:val="28"/>
          <w:szCs w:val="28"/>
        </w:rPr>
        <w:t xml:space="preserve"> </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3431F"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1EC"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D3431F">
        <w:rPr>
          <w:rFonts w:ascii="Times New Roman" w:eastAsia="Times New Roman" w:hAnsi="Times New Roman" w:cs="Times New Roman"/>
          <w:b/>
          <w:snapToGrid w:val="0"/>
          <w:sz w:val="28"/>
          <w:szCs w:val="28"/>
          <w:lang w:eastAsia="x-none"/>
        </w:rPr>
        <w:t>40</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6D" w:rsidRDefault="00635D6D" w:rsidP="00C80514">
      <w:pPr>
        <w:spacing w:after="0" w:line="240" w:lineRule="auto"/>
      </w:pPr>
      <w:r>
        <w:separator/>
      </w:r>
    </w:p>
  </w:endnote>
  <w:endnote w:type="continuationSeparator" w:id="0">
    <w:p w:rsidR="00635D6D" w:rsidRDefault="00635D6D"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6D" w:rsidRDefault="00635D6D" w:rsidP="00C80514">
      <w:pPr>
        <w:spacing w:after="0" w:line="240" w:lineRule="auto"/>
      </w:pPr>
      <w:r>
        <w:separator/>
      </w:r>
    </w:p>
  </w:footnote>
  <w:footnote w:type="continuationSeparator" w:id="0">
    <w:p w:rsidR="00635D6D" w:rsidRDefault="00635D6D"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17148F"/>
    <w:rsid w:val="001A1FF6"/>
    <w:rsid w:val="001D0AE5"/>
    <w:rsid w:val="0021415D"/>
    <w:rsid w:val="0022684E"/>
    <w:rsid w:val="0027766A"/>
    <w:rsid w:val="002A4775"/>
    <w:rsid w:val="002E61A9"/>
    <w:rsid w:val="002F15FC"/>
    <w:rsid w:val="00375302"/>
    <w:rsid w:val="00417407"/>
    <w:rsid w:val="00461A20"/>
    <w:rsid w:val="0049340D"/>
    <w:rsid w:val="004B7D2F"/>
    <w:rsid w:val="004C2ABB"/>
    <w:rsid w:val="004F56B1"/>
    <w:rsid w:val="00501EBE"/>
    <w:rsid w:val="00506AAC"/>
    <w:rsid w:val="0062232A"/>
    <w:rsid w:val="00635D6D"/>
    <w:rsid w:val="00675906"/>
    <w:rsid w:val="006A504E"/>
    <w:rsid w:val="006B2F27"/>
    <w:rsid w:val="006E0698"/>
    <w:rsid w:val="0075494D"/>
    <w:rsid w:val="007C4F76"/>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71B12"/>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33</Pages>
  <Words>9585</Words>
  <Characters>54635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ChenchaevaEE</cp:lastModifiedBy>
  <cp:revision>46</cp:revision>
  <dcterms:created xsi:type="dcterms:W3CDTF">2019-02-03T17:41:00Z</dcterms:created>
  <dcterms:modified xsi:type="dcterms:W3CDTF">2019-03-22T06:30:00Z</dcterms:modified>
</cp:coreProperties>
</file>