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proofErr w:type="gramStart"/>
      <w:r w:rsidRPr="000B72A0">
        <w:rPr>
          <w:sz w:val="28"/>
          <w:szCs w:val="28"/>
        </w:rPr>
        <w:t>как  в</w:t>
      </w:r>
      <w:proofErr w:type="gramEnd"/>
      <w:r w:rsidRPr="000B72A0">
        <w:rPr>
          <w:sz w:val="28"/>
          <w:szCs w:val="28"/>
        </w:rPr>
        <w:t xml:space="preserve">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proofErr w:type="gramStart"/>
      <w:r w:rsidRPr="000B72A0">
        <w:rPr>
          <w:sz w:val="28"/>
          <w:szCs w:val="28"/>
        </w:rPr>
        <w:t>возможно</w:t>
      </w:r>
      <w:proofErr w:type="gramEnd"/>
      <w:r w:rsidRPr="000B72A0">
        <w:rPr>
          <w:sz w:val="28"/>
          <w:szCs w:val="28"/>
        </w:rPr>
        <w:t xml:space="preserve">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Введение в заблуждение относительно изготовителя товара также </w:t>
      </w:r>
      <w:proofErr w:type="gramStart"/>
      <w:r w:rsidRPr="000B72A0">
        <w:rPr>
          <w:sz w:val="28"/>
          <w:szCs w:val="28"/>
        </w:rPr>
        <w:t>возможно</w:t>
      </w:r>
      <w:proofErr w:type="gramEnd"/>
      <w:r w:rsidRPr="000B72A0">
        <w:rPr>
          <w:sz w:val="28"/>
          <w:szCs w:val="28"/>
        </w:rPr>
        <w:t xml:space="preserve">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соблюдения требований, установленных частью 1 статьи </w:t>
      </w:r>
      <w:proofErr w:type="gramStart"/>
      <w:r w:rsidRPr="0064464E">
        <w:rPr>
          <w:sz w:val="28"/>
          <w:szCs w:val="28"/>
        </w:rPr>
        <w:t>11  Закона</w:t>
      </w:r>
      <w:proofErr w:type="gramEnd"/>
      <w:r w:rsidRPr="0064464E">
        <w:rPr>
          <w:sz w:val="28"/>
          <w:szCs w:val="28"/>
        </w:rPr>
        <w:t xml:space="preserve">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w:t>
      </w:r>
      <w:proofErr w:type="gramStart"/>
      <w:r w:rsidRPr="0068565D">
        <w:rPr>
          <w:rFonts w:ascii="Times New Roman" w:hAnsi="Times New Roman"/>
          <w:sz w:val="28"/>
          <w:szCs w:val="28"/>
        </w:rPr>
        <w:t xml:space="preserve">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proofErr w:type="gramEnd"/>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 xml:space="preserve">«ДОКАЗЫВАНИЕ НЕДОПУСТИМЫХ СОГЛАШЕНИЙ (В ТОМ ЧИСЛЕ КАРТЕЛЕЙ) </w:t>
      </w:r>
      <w:proofErr w:type="gramStart"/>
      <w:r w:rsidRPr="00B65DDA">
        <w:rPr>
          <w:rFonts w:ascii="Times New Roman" w:hAnsi="Times New Roman"/>
          <w:b/>
          <w:sz w:val="28"/>
          <w:szCs w:val="28"/>
        </w:rPr>
        <w:t>И  СОГЛАСОВАННЫХ</w:t>
      </w:r>
      <w:proofErr w:type="gramEnd"/>
      <w:r w:rsidRPr="00B65DDA">
        <w:rPr>
          <w:rFonts w:ascii="Times New Roman" w:hAnsi="Times New Roman"/>
          <w:b/>
          <w:sz w:val="28"/>
          <w:szCs w:val="28"/>
        </w:rPr>
        <w:t xml:space="preserve">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w:t>
      </w:r>
      <w:proofErr w:type="gramStart"/>
      <w:r w:rsidRPr="00B65DDA">
        <w:rPr>
          <w:rFonts w:ascii="Times New Roman" w:hAnsi="Times New Roman"/>
          <w:sz w:val="28"/>
          <w:szCs w:val="28"/>
          <w:lang w:eastAsia="ru-RU"/>
        </w:rPr>
        <w:t>или  между</w:t>
      </w:r>
      <w:proofErr w:type="gramEnd"/>
      <w:r w:rsidRPr="00B65DDA">
        <w:rPr>
          <w:rFonts w:ascii="Times New Roman" w:hAnsi="Times New Roman"/>
          <w:sz w:val="28"/>
          <w:szCs w:val="28"/>
          <w:lang w:eastAsia="ru-RU"/>
        </w:rPr>
        <w:t xml:space="preserve">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w:t>
      </w:r>
      <w:proofErr w:type="gramStart"/>
      <w:r w:rsidRPr="00B65DDA">
        <w:rPr>
          <w:rFonts w:ascii="Times New Roman" w:hAnsi="Times New Roman"/>
          <w:sz w:val="28"/>
          <w:szCs w:val="28"/>
          <w:lang w:eastAsia="ru-RU"/>
        </w:rPr>
        <w:t>13  Закона</w:t>
      </w:r>
      <w:proofErr w:type="gramEnd"/>
      <w:r w:rsidRPr="00B65DDA">
        <w:rPr>
          <w:rFonts w:ascii="Times New Roman" w:hAnsi="Times New Roman"/>
          <w:sz w:val="28"/>
          <w:szCs w:val="28"/>
          <w:lang w:eastAsia="ru-RU"/>
        </w:rPr>
        <w:t xml:space="preserve">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w:t>
      </w:r>
      <w:proofErr w:type="gramStart"/>
      <w:r w:rsidRPr="00B65DDA">
        <w:rPr>
          <w:rFonts w:ascii="Times New Roman" w:hAnsi="Times New Roman"/>
          <w:sz w:val="28"/>
          <w:szCs w:val="28"/>
        </w:rPr>
        <w:t>13  Закона</w:t>
      </w:r>
      <w:proofErr w:type="gramEnd"/>
      <w:r w:rsidRPr="00B65DDA">
        <w:rPr>
          <w:rFonts w:ascii="Times New Roman" w:hAnsi="Times New Roman"/>
          <w:sz w:val="28"/>
          <w:szCs w:val="28"/>
        </w:rPr>
        <w:t xml:space="preserve">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334D3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 xml:space="preserve">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w:t>
      </w:r>
      <w:proofErr w:type="gramStart"/>
      <w:r>
        <w:rPr>
          <w:rFonts w:ascii="Times New Roman" w:hAnsi="Times New Roman" w:cs="Times New Roman"/>
          <w:sz w:val="28"/>
          <w:szCs w:val="28"/>
        </w:rPr>
        <w:t>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 xml:space="preserve">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w:t>
      </w:r>
      <w:r w:rsidRPr="00D52262">
        <w:rPr>
          <w:rFonts w:ascii="Times New Roman" w:eastAsia="Calibri" w:hAnsi="Times New Roman" w:cs="Times New Roman"/>
          <w:bCs/>
          <w:sz w:val="28"/>
          <w:szCs w:val="28"/>
        </w:rPr>
        <w:lastRenderedPageBreak/>
        <w:t xml:space="preserve">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w:t>
      </w:r>
      <w:r w:rsidRPr="007721EE">
        <w:rPr>
          <w:rFonts w:ascii="Times New Roman" w:eastAsia="Times New Roman" w:hAnsi="Times New Roman" w:cs="Times New Roman"/>
          <w:sz w:val="28"/>
          <w:szCs w:val="28"/>
          <w:lang w:eastAsia="ru-RU"/>
        </w:rPr>
        <w:lastRenderedPageBreak/>
        <w:t>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 xml:space="preserve">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w:t>
      </w:r>
      <w:r w:rsidRPr="007721EE">
        <w:rPr>
          <w:rFonts w:ascii="Times New Roman" w:eastAsia="Calibri" w:hAnsi="Times New Roman" w:cs="Times New Roman"/>
          <w:sz w:val="28"/>
          <w:szCs w:val="28"/>
        </w:rPr>
        <w:lastRenderedPageBreak/>
        <w:t>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w:t>
      </w:r>
      <w:r w:rsidRPr="007721EE">
        <w:rPr>
          <w:rFonts w:ascii="Times New Roman" w:eastAsia="Times New Roman" w:hAnsi="Times New Roman" w:cs="Times New Roman"/>
          <w:color w:val="000000"/>
          <w:sz w:val="28"/>
          <w:szCs w:val="28"/>
          <w:lang w:eastAsia="ru-RU"/>
        </w:rPr>
        <w:lastRenderedPageBreak/>
        <w:t>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 xml:space="preserve">постановление ФАС </w:t>
      </w:r>
      <w:proofErr w:type="gramStart"/>
      <w:r w:rsidRPr="007721EE">
        <w:rPr>
          <w:rFonts w:ascii="Times New Roman" w:eastAsia="Times New Roman" w:hAnsi="Times New Roman" w:cs="Times New Roman"/>
          <w:sz w:val="28"/>
          <w:szCs w:val="28"/>
          <w:lang w:eastAsia="ru-RU"/>
        </w:rPr>
        <w:t>Восточно-Сибирского</w:t>
      </w:r>
      <w:proofErr w:type="gramEnd"/>
      <w:r w:rsidRPr="007721EE">
        <w:rPr>
          <w:rFonts w:ascii="Times New Roman" w:eastAsia="Times New Roman" w:hAnsi="Times New Roman" w:cs="Times New Roman"/>
          <w:sz w:val="28"/>
          <w:szCs w:val="28"/>
          <w:lang w:eastAsia="ru-RU"/>
        </w:rPr>
        <w:t xml:space="preserve">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xml:space="preserve">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w:t>
      </w:r>
      <w:r w:rsidRPr="007721EE">
        <w:rPr>
          <w:rFonts w:ascii="Times New Roman" w:eastAsia="Times New Roman" w:hAnsi="Times New Roman" w:cs="Times New Roman"/>
          <w:sz w:val="28"/>
          <w:szCs w:val="28"/>
          <w:lang w:eastAsia="ru-RU"/>
        </w:rPr>
        <w:lastRenderedPageBreak/>
        <w:t>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w:t>
      </w:r>
      <w:proofErr w:type="gramStart"/>
      <w:r w:rsidRPr="007721EE">
        <w:rPr>
          <w:rFonts w:ascii="Times New Roman" w:eastAsia="Times New Roman" w:hAnsi="Times New Roman" w:cs="Times New Roman"/>
          <w:sz w:val="28"/>
          <w:szCs w:val="28"/>
          <w:lang w:eastAsia="ru-RU"/>
        </w:rPr>
        <w:t>Северо-Кавказского</w:t>
      </w:r>
      <w:proofErr w:type="gramEnd"/>
      <w:r w:rsidRPr="007721EE">
        <w:rPr>
          <w:rFonts w:ascii="Times New Roman" w:eastAsia="Times New Roman" w:hAnsi="Times New Roman" w:cs="Times New Roman"/>
          <w:sz w:val="28"/>
          <w:szCs w:val="28"/>
          <w:lang w:eastAsia="ru-RU"/>
        </w:rPr>
        <w:t xml:space="preserve">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lastRenderedPageBreak/>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w:t>
      </w:r>
      <w:r w:rsidRPr="007721EE">
        <w:rPr>
          <w:rFonts w:ascii="Times New Roman" w:eastAsia="Times New Roman" w:hAnsi="Times New Roman" w:cs="Times New Roman"/>
          <w:sz w:val="28"/>
          <w:szCs w:val="28"/>
          <w:lang w:eastAsia="ru-RU"/>
        </w:rPr>
        <w:lastRenderedPageBreak/>
        <w:t>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w:t>
      </w:r>
      <w:r w:rsidRPr="007721EE">
        <w:rPr>
          <w:rFonts w:ascii="Times New Roman" w:eastAsia="Calibri" w:hAnsi="Times New Roman" w:cs="Times New Roman"/>
          <w:sz w:val="28"/>
          <w:szCs w:val="28"/>
        </w:rPr>
        <w:lastRenderedPageBreak/>
        <w:t>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w:t>
      </w:r>
      <w:r w:rsidRPr="004436FA">
        <w:rPr>
          <w:rFonts w:ascii="Times New Roman" w:hAnsi="Times New Roman"/>
          <w:sz w:val="28"/>
          <w:szCs w:val="28"/>
        </w:rPr>
        <w:lastRenderedPageBreak/>
        <w:t>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proofErr w:type="gramStart"/>
      <w:r w:rsidRPr="004436FA">
        <w:rPr>
          <w:rFonts w:ascii="Times New Roman" w:hAnsi="Times New Roman"/>
          <w:sz w:val="28"/>
          <w:szCs w:val="28"/>
        </w:rPr>
        <w:t>совершение</w:t>
      </w:r>
      <w:proofErr w:type="gramEnd"/>
      <w:r w:rsidRPr="004436FA">
        <w:rPr>
          <w:rFonts w:ascii="Times New Roman" w:hAnsi="Times New Roman"/>
          <w:sz w:val="28"/>
          <w:szCs w:val="28"/>
        </w:rPr>
        <w:t xml:space="preserve">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proofErr w:type="gramStart"/>
      <w:r w:rsidRPr="004436FA">
        <w:rPr>
          <w:rFonts w:ascii="Times New Roman" w:hAnsi="Times New Roman"/>
          <w:sz w:val="28"/>
          <w:szCs w:val="28"/>
        </w:rPr>
        <w:t>наличие</w:t>
      </w:r>
      <w:proofErr w:type="gramEnd"/>
      <w:r w:rsidRPr="004436FA">
        <w:rPr>
          <w:rFonts w:ascii="Times New Roman" w:hAnsi="Times New Roman"/>
          <w:sz w:val="28"/>
          <w:szCs w:val="28"/>
        </w:rPr>
        <w:t xml:space="preserve">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proofErr w:type="gramStart"/>
      <w:r w:rsidRPr="004436FA">
        <w:rPr>
          <w:rFonts w:ascii="Times New Roman" w:hAnsi="Times New Roman"/>
          <w:sz w:val="28"/>
          <w:szCs w:val="28"/>
        </w:rPr>
        <w:t>причинно</w:t>
      </w:r>
      <w:proofErr w:type="gramEnd"/>
      <w:r w:rsidRPr="004436FA">
        <w:rPr>
          <w:rFonts w:ascii="Times New Roman" w:hAnsi="Times New Roman"/>
          <w:sz w:val="28"/>
          <w:szCs w:val="28"/>
        </w:rPr>
        <w:t>-следственная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w:t>
      </w:r>
      <w:proofErr w:type="spellEnd"/>
      <w:r>
        <w:rPr>
          <w:rFonts w:ascii="Times New Roman" w:hAnsi="Times New Roman"/>
          <w:sz w:val="28"/>
          <w:szCs w:val="28"/>
        </w:rPr>
        <w:t>-</w:t>
      </w:r>
      <w:proofErr w:type="spellStart"/>
      <w:proofErr w:type="gramStart"/>
      <w:r>
        <w:rPr>
          <w:rFonts w:ascii="Times New Roman" w:hAnsi="Times New Roman"/>
          <w:sz w:val="28"/>
          <w:szCs w:val="28"/>
        </w:rPr>
        <w:t>on</w:t>
      </w:r>
      <w:proofErr w:type="spellEnd"/>
      <w:r>
        <w:rPr>
          <w:rFonts w:ascii="Times New Roman" w:hAnsi="Times New Roman"/>
          <w:sz w:val="28"/>
          <w:szCs w:val="28"/>
        </w:rPr>
        <w:t>»-</w:t>
      </w:r>
      <w:proofErr w:type="gramEnd"/>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w:t>
      </w:r>
      <w:proofErr w:type="spellEnd"/>
      <w:r w:rsidRPr="004436FA">
        <w:rPr>
          <w:rFonts w:ascii="Times New Roman" w:hAnsi="Times New Roman"/>
          <w:sz w:val="28"/>
          <w:szCs w:val="28"/>
        </w:rPr>
        <w:t>-</w:t>
      </w:r>
      <w:proofErr w:type="spellStart"/>
      <w:proofErr w:type="gramStart"/>
      <w:r w:rsidRPr="004436FA">
        <w:rPr>
          <w:rFonts w:ascii="Times New Roman" w:hAnsi="Times New Roman"/>
          <w:sz w:val="28"/>
          <w:szCs w:val="28"/>
        </w:rPr>
        <w:t>alone</w:t>
      </w:r>
      <w:proofErr w:type="spellEnd"/>
      <w:r w:rsidRPr="004436FA">
        <w:rPr>
          <w:rFonts w:ascii="Times New Roman" w:hAnsi="Times New Roman"/>
          <w:sz w:val="28"/>
          <w:szCs w:val="28"/>
        </w:rPr>
        <w:t>»-</w:t>
      </w:r>
      <w:proofErr w:type="gram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 xml:space="preserve">В таких случаях антимонопольный орган должен быть уведомлен судом о начавшемся процессе, а в дальнейшем должен быть определен статус </w:t>
      </w:r>
      <w:r w:rsidRPr="004436FA">
        <w:rPr>
          <w:rFonts w:ascii="Times New Roman" w:hAnsi="Times New Roman"/>
          <w:sz w:val="28"/>
          <w:szCs w:val="28"/>
        </w:rPr>
        <w:lastRenderedPageBreak/>
        <w:t>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w:t>
      </w:r>
      <w:proofErr w:type="gramStart"/>
      <w:r w:rsidRPr="004436FA">
        <w:rPr>
          <w:rFonts w:ascii="Times New Roman" w:hAnsi="Times New Roman"/>
          <w:sz w:val="28"/>
          <w:szCs w:val="28"/>
        </w:rPr>
        <w:t>разница</w:t>
      </w:r>
      <w:proofErr w:type="gramEnd"/>
      <w:r w:rsidRPr="004436FA">
        <w:rPr>
          <w:rFonts w:ascii="Times New Roman" w:hAnsi="Times New Roman"/>
          <w:sz w:val="28"/>
          <w:szCs w:val="28"/>
        </w:rPr>
        <w:t xml:space="preserve">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w:t>
      </w:r>
      <w:proofErr w:type="gramStart"/>
      <w:r>
        <w:rPr>
          <w:rFonts w:ascii="Times New Roman" w:hAnsi="Times New Roman"/>
          <w:sz w:val="28"/>
          <w:szCs w:val="28"/>
        </w:rPr>
        <w:t xml:space="preserve">с </w:t>
      </w:r>
      <w:r w:rsidRPr="004436FA">
        <w:rPr>
          <w:rFonts w:ascii="Times New Roman" w:hAnsi="Times New Roman"/>
          <w:sz w:val="28"/>
          <w:szCs w:val="28"/>
        </w:rPr>
        <w:t xml:space="preserve"> нарушени</w:t>
      </w:r>
      <w:r>
        <w:rPr>
          <w:rFonts w:ascii="Times New Roman" w:hAnsi="Times New Roman"/>
          <w:sz w:val="28"/>
          <w:szCs w:val="28"/>
        </w:rPr>
        <w:t>ем</w:t>
      </w:r>
      <w:proofErr w:type="gramEnd"/>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w:t>
      </w:r>
      <w:proofErr w:type="gramStart"/>
      <w:r w:rsidRPr="004436FA">
        <w:rPr>
          <w:rFonts w:ascii="Times New Roman" w:hAnsi="Times New Roman"/>
          <w:sz w:val="28"/>
          <w:szCs w:val="28"/>
        </w:rPr>
        <w:t>собой  неполученные</w:t>
      </w:r>
      <w:proofErr w:type="gramEnd"/>
      <w:r w:rsidRPr="004436FA">
        <w:rPr>
          <w:rFonts w:ascii="Times New Roman" w:hAnsi="Times New Roman"/>
          <w:sz w:val="28"/>
          <w:szCs w:val="28"/>
        </w:rPr>
        <w:t xml:space="preserve">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 xml:space="preserve">2015 № 25 также указывается, </w:t>
      </w:r>
      <w:proofErr w:type="gramStart"/>
      <w:r w:rsidRPr="004436FA">
        <w:rPr>
          <w:rFonts w:ascii="Times New Roman" w:hAnsi="Times New Roman"/>
          <w:sz w:val="28"/>
          <w:szCs w:val="28"/>
        </w:rPr>
        <w:t>что  упущенной</w:t>
      </w:r>
      <w:proofErr w:type="gramEnd"/>
      <w:r w:rsidRPr="004436FA">
        <w:rPr>
          <w:rFonts w:ascii="Times New Roman" w:hAnsi="Times New Roman"/>
          <w:sz w:val="28"/>
          <w:szCs w:val="28"/>
        </w:rPr>
        <w:t xml:space="preserve">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w:t>
      </w:r>
      <w:proofErr w:type="gramStart"/>
      <w:r w:rsidRPr="004436FA">
        <w:rPr>
          <w:rFonts w:ascii="Times New Roman" w:hAnsi="Times New Roman"/>
          <w:sz w:val="28"/>
          <w:szCs w:val="28"/>
        </w:rPr>
        <w:t>а</w:t>
      </w:r>
      <w:proofErr w:type="gramEnd"/>
      <w:r w:rsidRPr="004436FA">
        <w:rPr>
          <w:rFonts w:ascii="Times New Roman" w:hAnsi="Times New Roman"/>
          <w:sz w:val="28"/>
          <w:szCs w:val="28"/>
        </w:rPr>
        <w:t xml:space="preserve">) Какой доход (за вычетом расходов, которые понес бы Истец при производстве цемента марки ЦЕМ II/А-Ш 32.5 Б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roofErr w:type="gramStart"/>
      <w:r w:rsidRPr="004436FA">
        <w:rPr>
          <w:rFonts w:ascii="Times New Roman" w:hAnsi="Times New Roman"/>
          <w:sz w:val="28"/>
          <w:szCs w:val="28"/>
        </w:rPr>
        <w:t>б</w:t>
      </w:r>
      <w:proofErr w:type="gramEnd"/>
      <w:r w:rsidRPr="004436FA">
        <w:rPr>
          <w:rFonts w:ascii="Times New Roman" w:hAnsi="Times New Roman"/>
          <w:sz w:val="28"/>
          <w:szCs w:val="28"/>
        </w:rPr>
        <w:t>)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roofErr w:type="gramStart"/>
      <w:r w:rsidRPr="004436FA">
        <w:rPr>
          <w:rFonts w:ascii="Times New Roman" w:hAnsi="Times New Roman"/>
          <w:sz w:val="28"/>
          <w:szCs w:val="28"/>
        </w:rPr>
        <w:t>в</w:t>
      </w:r>
      <w:proofErr w:type="gramEnd"/>
      <w:r w:rsidRPr="004436FA">
        <w:rPr>
          <w:rFonts w:ascii="Times New Roman" w:hAnsi="Times New Roman"/>
          <w:sz w:val="28"/>
          <w:szCs w:val="28"/>
        </w:rPr>
        <w:t>)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roofErr w:type="gramStart"/>
      <w:r w:rsidRPr="004436FA">
        <w:rPr>
          <w:rFonts w:ascii="Times New Roman" w:hAnsi="Times New Roman"/>
          <w:sz w:val="28"/>
          <w:szCs w:val="28"/>
        </w:rPr>
        <w:t>г</w:t>
      </w:r>
      <w:proofErr w:type="gramEnd"/>
      <w:r w:rsidRPr="004436FA">
        <w:rPr>
          <w:rFonts w:ascii="Times New Roman" w:hAnsi="Times New Roman"/>
          <w:sz w:val="28"/>
          <w:szCs w:val="28"/>
        </w:rPr>
        <w:t xml:space="preserve">)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roofErr w:type="gramStart"/>
      <w:r w:rsidRPr="004436FA">
        <w:rPr>
          <w:rFonts w:ascii="Times New Roman" w:hAnsi="Times New Roman"/>
          <w:sz w:val="28"/>
          <w:szCs w:val="28"/>
        </w:rPr>
        <w:t>д</w:t>
      </w:r>
      <w:proofErr w:type="gramEnd"/>
      <w:r w:rsidRPr="004436FA">
        <w:rPr>
          <w:rFonts w:ascii="Times New Roman" w:hAnsi="Times New Roman"/>
          <w:sz w:val="28"/>
          <w:szCs w:val="28"/>
        </w:rPr>
        <w:t>)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lastRenderedPageBreak/>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сложившейся судебной практике прямая (непосредственная) причинно-следственная связь существует тогда, когда в цепи последовательно </w:t>
      </w:r>
      <w:r w:rsidRPr="004436FA">
        <w:rPr>
          <w:rFonts w:ascii="Times New Roman" w:hAnsi="Times New Roman"/>
          <w:sz w:val="28"/>
          <w:szCs w:val="28"/>
        </w:rPr>
        <w:lastRenderedPageBreak/>
        <w:t>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proofErr w:type="gramStart"/>
      <w:r w:rsidRPr="004436FA">
        <w:rPr>
          <w:rFonts w:ascii="Times New Roman" w:hAnsi="Times New Roman"/>
          <w:sz w:val="28"/>
          <w:szCs w:val="28"/>
        </w:rPr>
        <w:t>Подтверждая  законность</w:t>
      </w:r>
      <w:proofErr w:type="gramEnd"/>
      <w:r w:rsidRPr="004436FA">
        <w:rPr>
          <w:rFonts w:ascii="Times New Roman" w:hAnsi="Times New Roman"/>
          <w:sz w:val="28"/>
          <w:szCs w:val="28"/>
        </w:rPr>
        <w:t xml:space="preserve">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w:t>
      </w:r>
      <w:r w:rsidRPr="004436FA">
        <w:rPr>
          <w:rFonts w:ascii="Times New Roman" w:hAnsi="Times New Roman"/>
          <w:sz w:val="28"/>
          <w:szCs w:val="28"/>
        </w:rPr>
        <w:lastRenderedPageBreak/>
        <w:t>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w:t>
      </w:r>
      <w:r w:rsidRPr="001A2731">
        <w:rPr>
          <w:rFonts w:ascii="Times New Roman" w:hAnsi="Times New Roman"/>
          <w:sz w:val="28"/>
          <w:szCs w:val="28"/>
        </w:rPr>
        <w:lastRenderedPageBreak/>
        <w:t xml:space="preserve">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w:t>
      </w:r>
      <w:proofErr w:type="spellStart"/>
      <w:r w:rsidRPr="004436FA">
        <w:rPr>
          <w:rFonts w:ascii="Times New Roman" w:hAnsi="Times New Roman"/>
          <w:sz w:val="28"/>
          <w:szCs w:val="28"/>
        </w:rPr>
        <w:t>упоминавшемуся</w:t>
      </w:r>
      <w:proofErr w:type="spellEnd"/>
      <w:r w:rsidRPr="004436FA">
        <w:rPr>
          <w:rFonts w:ascii="Times New Roman" w:hAnsi="Times New Roman"/>
          <w:sz w:val="28"/>
          <w:szCs w:val="28"/>
        </w:rPr>
        <w:t xml:space="preserve">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sidRPr="004436FA">
        <w:rPr>
          <w:rFonts w:ascii="Times New Roman" w:hAnsi="Times New Roman"/>
          <w:sz w:val="28"/>
          <w:szCs w:val="28"/>
        </w:rPr>
        <w:t>блочно</w:t>
      </w:r>
      <w:proofErr w:type="spellEnd"/>
      <w:r w:rsidRPr="004436FA">
        <w:rPr>
          <w:rFonts w:ascii="Times New Roman" w:hAnsi="Times New Roman"/>
          <w:sz w:val="28"/>
          <w:szCs w:val="28"/>
        </w:rPr>
        <w:t>-модульную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w:t>
      </w:r>
      <w:r w:rsidRPr="004436FA">
        <w:rPr>
          <w:rFonts w:ascii="Times New Roman" w:hAnsi="Times New Roman"/>
          <w:sz w:val="28"/>
          <w:szCs w:val="28"/>
        </w:rPr>
        <w:lastRenderedPageBreak/>
        <w:t>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w:t>
      </w:r>
      <w:r w:rsidRPr="004436FA">
        <w:rPr>
          <w:rFonts w:ascii="Times New Roman" w:hAnsi="Times New Roman"/>
          <w:sz w:val="28"/>
          <w:szCs w:val="28"/>
        </w:rPr>
        <w:lastRenderedPageBreak/>
        <w:t>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w:t>
      </w:r>
      <w:r w:rsidRPr="004436FA">
        <w:rPr>
          <w:rFonts w:ascii="Times New Roman" w:hAnsi="Times New Roman"/>
          <w:sz w:val="28"/>
          <w:szCs w:val="28"/>
        </w:rPr>
        <w:lastRenderedPageBreak/>
        <w:t>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w:t>
      </w:r>
      <w:r w:rsidRPr="004436FA">
        <w:rPr>
          <w:rFonts w:ascii="Times New Roman" w:hAnsi="Times New Roman" w:cs="Times New Roman"/>
          <w:sz w:val="28"/>
          <w:szCs w:val="28"/>
        </w:rPr>
        <w:lastRenderedPageBreak/>
        <w:t>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rsidRPr="004436FA">
        <w:rPr>
          <w:rFonts w:ascii="Times New Roman" w:hAnsi="Times New Roman" w:cs="Times New Roman"/>
          <w:sz w:val="28"/>
          <w:szCs w:val="28"/>
        </w:rPr>
        <w:t>недополучен</w:t>
      </w:r>
      <w:proofErr w:type="spellEnd"/>
      <w:r w:rsidRPr="004436FA">
        <w:rPr>
          <w:rFonts w:ascii="Times New Roman" w:hAnsi="Times New Roman" w:cs="Times New Roman"/>
          <w:sz w:val="28"/>
          <w:szCs w:val="28"/>
        </w:rPr>
        <w:t>,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lastRenderedPageBreak/>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proofErr w:type="gramStart"/>
      <w:r w:rsidRPr="004436FA">
        <w:t>установление</w:t>
      </w:r>
      <w:proofErr w:type="gramEnd"/>
      <w:r w:rsidRPr="004436FA">
        <w:t>,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изъятие</w:t>
      </w:r>
      <w:proofErr w:type="gramEnd"/>
      <w:r w:rsidRPr="004436FA">
        <w:t xml:space="preserve">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экономически</w:t>
      </w:r>
      <w:proofErr w:type="gramEnd"/>
      <w:r w:rsidRPr="004436FA">
        <w:t xml:space="preserve">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proofErr w:type="gramStart"/>
      <w:r w:rsidRPr="004436FA">
        <w:t>установление</w:t>
      </w:r>
      <w:proofErr w:type="gramEnd"/>
      <w:r w:rsidRPr="004436FA">
        <w:t xml:space="preserve">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proofErr w:type="gramStart"/>
      <w:r w:rsidRPr="004436FA">
        <w:t>нарушение</w:t>
      </w:r>
      <w:proofErr w:type="gramEnd"/>
      <w:r w:rsidRPr="004436FA">
        <w:t xml:space="preserve">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proofErr w:type="gramStart"/>
      <w:r w:rsidRPr="004436FA">
        <w:t>манипулирование</w:t>
      </w:r>
      <w:proofErr w:type="gramEnd"/>
      <w:r w:rsidRPr="004436FA">
        <w:t xml:space="preserve">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картельные</w:t>
      </w:r>
      <w:proofErr w:type="gramEnd"/>
      <w:r w:rsidRPr="004436FA">
        <w:t xml:space="preserve">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proofErr w:type="gramStart"/>
      <w:r w:rsidRPr="004436FA">
        <w:t>картельные</w:t>
      </w:r>
      <w:proofErr w:type="gramEnd"/>
      <w:r w:rsidRPr="004436FA">
        <w:t xml:space="preserve">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proofErr w:type="gramStart"/>
      <w:r w:rsidRPr="004436FA">
        <w:t>картельные</w:t>
      </w:r>
      <w:proofErr w:type="gramEnd"/>
      <w:r w:rsidRPr="004436FA">
        <w:t xml:space="preserve">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proofErr w:type="gramStart"/>
      <w:r w:rsidRPr="004436FA">
        <w:t>картельные</w:t>
      </w:r>
      <w:proofErr w:type="gramEnd"/>
      <w:r w:rsidRPr="004436FA">
        <w:t xml:space="preserve">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вертикальные</w:t>
      </w:r>
      <w:proofErr w:type="gramEnd"/>
      <w:r w:rsidRPr="004436FA">
        <w:t xml:space="preserve">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proofErr w:type="gramStart"/>
      <w:r w:rsidRPr="004436FA">
        <w:t>вертикальные</w:t>
      </w:r>
      <w:proofErr w:type="gramEnd"/>
      <w:r w:rsidRPr="004436FA">
        <w:t xml:space="preserve">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proofErr w:type="gramStart"/>
      <w:r w:rsidRPr="004436FA">
        <w:t>соглашения</w:t>
      </w:r>
      <w:proofErr w:type="gramEnd"/>
      <w:r w:rsidRPr="004436FA">
        <w:t xml:space="preserve">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w:t>
      </w:r>
      <w:proofErr w:type="gramEnd"/>
      <w:r w:rsidRPr="004436FA">
        <w:t xml:space="preserve">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w:t>
      </w:r>
      <w:proofErr w:type="gramEnd"/>
      <w:r w:rsidRPr="004436FA">
        <w:t xml:space="preserve">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w:t>
      </w:r>
      <w:proofErr w:type="gramEnd"/>
      <w:r w:rsidRPr="004436FA">
        <w:t xml:space="preserve">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w:t>
      </w:r>
      <w:proofErr w:type="gramEnd"/>
      <w:r w:rsidRPr="004436FA">
        <w:t xml:space="preserve">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w:t>
      </w:r>
      <w:proofErr w:type="gramEnd"/>
      <w:r w:rsidRPr="004436FA">
        <w:t xml:space="preserve">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w:t>
      </w:r>
      <w:proofErr w:type="gramEnd"/>
      <w:r w:rsidRPr="004436FA">
        <w:t xml:space="preserve">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соглашения</w:t>
      </w:r>
      <w:proofErr w:type="gramEnd"/>
      <w:r w:rsidRPr="004436FA">
        <w:t xml:space="preserve">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proofErr w:type="gramStart"/>
      <w:r w:rsidRPr="004436FA">
        <w:t>соглашения</w:t>
      </w:r>
      <w:proofErr w:type="gramEnd"/>
      <w:r w:rsidRPr="004436FA">
        <w:t xml:space="preserve">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proofErr w:type="gramStart"/>
      <w:r w:rsidRPr="004436FA">
        <w:t>навязывание</w:t>
      </w:r>
      <w:proofErr w:type="gramEnd"/>
      <w:r w:rsidRPr="004436FA">
        <w:t xml:space="preserve">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proofErr w:type="gramStart"/>
      <w:r w:rsidRPr="004436FA">
        <w:lastRenderedPageBreak/>
        <w:t>экономически</w:t>
      </w:r>
      <w:proofErr w:type="gramEnd"/>
      <w:r w:rsidRPr="004436FA">
        <w:t xml:space="preserve">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proofErr w:type="gramStart"/>
      <w:r w:rsidRPr="004436FA">
        <w:t>установление</w:t>
      </w:r>
      <w:proofErr w:type="gramEnd"/>
      <w:r w:rsidRPr="004436FA">
        <w:t xml:space="preserve">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установление</w:t>
      </w:r>
      <w:proofErr w:type="gramEnd"/>
      <w:r w:rsidRPr="004436FA">
        <w:t xml:space="preserve">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proofErr w:type="gramStart"/>
      <w:r w:rsidRPr="004436FA">
        <w:t>создание</w:t>
      </w:r>
      <w:proofErr w:type="gramEnd"/>
      <w:r w:rsidRPr="004436FA">
        <w:t xml:space="preserve">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proofErr w:type="gramStart"/>
      <w:r w:rsidRPr="004436FA">
        <w:t>создание</w:t>
      </w:r>
      <w:proofErr w:type="gramEnd"/>
      <w:r w:rsidRPr="004436FA">
        <w:t xml:space="preserve">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proofErr w:type="gramStart"/>
      <w:r w:rsidRPr="004436FA">
        <w:t>картельные</w:t>
      </w:r>
      <w:proofErr w:type="gramEnd"/>
      <w:r w:rsidRPr="004436FA">
        <w:t xml:space="preserve">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картельные</w:t>
      </w:r>
      <w:proofErr w:type="gramEnd"/>
      <w:r w:rsidRPr="004436FA">
        <w:t xml:space="preserve">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картельные</w:t>
      </w:r>
      <w:proofErr w:type="gramEnd"/>
      <w:r w:rsidRPr="004436FA">
        <w:t xml:space="preserve">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вертикальные</w:t>
      </w:r>
      <w:proofErr w:type="gramEnd"/>
      <w:r w:rsidRPr="004436FA">
        <w:t xml:space="preserve">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w:t>
      </w:r>
      <w:proofErr w:type="gramEnd"/>
      <w:r w:rsidRPr="004436FA">
        <w:t xml:space="preserve">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w:t>
      </w:r>
      <w:proofErr w:type="gramEnd"/>
      <w:r w:rsidRPr="004436FA">
        <w:t xml:space="preserve">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5" w:name="sub_171128"/>
      <w:bookmarkEnd w:id="34"/>
      <w:proofErr w:type="gramStart"/>
      <w:r w:rsidRPr="004436FA">
        <w:t>соглашения</w:t>
      </w:r>
      <w:proofErr w:type="gramEnd"/>
      <w:r w:rsidRPr="004436FA">
        <w:t xml:space="preserve">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proofErr w:type="gramStart"/>
      <w:r w:rsidRPr="004436FA">
        <w:t>согласованные</w:t>
      </w:r>
      <w:proofErr w:type="gramEnd"/>
      <w:r w:rsidRPr="004436FA">
        <w:t xml:space="preserve"> </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согласованные</w:t>
      </w:r>
      <w:proofErr w:type="gramEnd"/>
      <w:r w:rsidRPr="004436FA">
        <w:t xml:space="preserve">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proofErr w:type="gramStart"/>
      <w:r w:rsidRPr="004436FA">
        <w:lastRenderedPageBreak/>
        <w:t>недобросовестная</w:t>
      </w:r>
      <w:proofErr w:type="gramEnd"/>
      <w:r w:rsidRPr="004436FA">
        <w:t xml:space="preserve">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w:t>
      </w:r>
      <w:proofErr w:type="gramEnd"/>
      <w:r w:rsidRPr="004436FA">
        <w:t xml:space="preserve">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w:t>
      </w:r>
      <w:proofErr w:type="gramEnd"/>
      <w:r w:rsidRPr="004436FA">
        <w:t xml:space="preserve">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proofErr w:type="gramStart"/>
      <w:r w:rsidRPr="004436FA">
        <w:t>до</w:t>
      </w:r>
      <w:proofErr w:type="gramEnd"/>
      <w:r w:rsidRPr="004436FA">
        <w:t xml:space="preserve">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proofErr w:type="gramStart"/>
      <w:r w:rsidRPr="004436FA">
        <w:t>на</w:t>
      </w:r>
      <w:proofErr w:type="gramEnd"/>
      <w:r w:rsidRPr="004436FA">
        <w:t xml:space="preserve">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lastRenderedPageBreak/>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основные факторы производства обращаются на конкурентных рынках, и </w:t>
      </w:r>
      <w:r w:rsidRPr="004436FA">
        <w:rPr>
          <w:rFonts w:ascii="Times New Roman" w:hAnsi="Times New Roman" w:cs="Times New Roman"/>
          <w:sz w:val="28"/>
          <w:szCs w:val="28"/>
        </w:rPr>
        <w:lastRenderedPageBreak/>
        <w:t>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proofErr w:type="gramStart"/>
      <w:r w:rsidRPr="004436FA">
        <w:t>рынок</w:t>
      </w:r>
      <w:proofErr w:type="gramEnd"/>
      <w:r w:rsidRPr="004436FA">
        <w:t xml:space="preserve">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proofErr w:type="gramStart"/>
      <w:r w:rsidRPr="004436FA">
        <w:t>рынок</w:t>
      </w:r>
      <w:proofErr w:type="gramEnd"/>
      <w:r w:rsidRPr="004436FA">
        <w:t xml:space="preserve">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w:t>
      </w:r>
      <w:proofErr w:type="gramStart"/>
      <w:r w:rsidRPr="004436FA">
        <w:rPr>
          <w:rFonts w:ascii="Times New Roman" w:hAnsi="Times New Roman" w:cs="Times New Roman"/>
          <w:sz w:val="28"/>
          <w:szCs w:val="28"/>
        </w:rPr>
        <w:t>плане  предложения</w:t>
      </w:r>
      <w:proofErr w:type="gramEnd"/>
      <w:r w:rsidRPr="004436FA">
        <w:rPr>
          <w:rFonts w:ascii="Times New Roman" w:hAnsi="Times New Roman" w:cs="Times New Roman"/>
          <w:sz w:val="28"/>
          <w:szCs w:val="28"/>
        </w:rPr>
        <w:t xml:space="preserve">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w:t>
      </w:r>
      <w:proofErr w:type="gramStart"/>
      <w:r w:rsidRPr="004436FA">
        <w:rPr>
          <w:rFonts w:ascii="Times New Roman" w:hAnsi="Times New Roman" w:cs="Times New Roman"/>
          <w:sz w:val="28"/>
          <w:szCs w:val="28"/>
        </w:rPr>
        <w:t>убытка  может</w:t>
      </w:r>
      <w:proofErr w:type="gramEnd"/>
      <w:r w:rsidRPr="004436FA">
        <w:rPr>
          <w:rFonts w:ascii="Times New Roman" w:hAnsi="Times New Roman" w:cs="Times New Roman"/>
          <w:sz w:val="28"/>
          <w:szCs w:val="28"/>
        </w:rPr>
        <w:t xml:space="preserve">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w:t>
      </w:r>
      <w:r w:rsidRPr="004436FA">
        <w:rPr>
          <w:rFonts w:ascii="Times New Roman" w:hAnsi="Times New Roman" w:cs="Times New Roman"/>
          <w:sz w:val="28"/>
          <w:szCs w:val="28"/>
        </w:rPr>
        <w:lastRenderedPageBreak/>
        <w:t>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lastRenderedPageBreak/>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Теория отраслевых рынков является разделом экономики, в котором изучается, как хозяйствующие субъекты устанавливают свои цены и объемы </w:t>
      </w:r>
      <w:r w:rsidRPr="004436FA">
        <w:rPr>
          <w:rFonts w:ascii="Times New Roman" w:hAnsi="Times New Roman" w:cs="Times New Roman"/>
          <w:sz w:val="28"/>
          <w:szCs w:val="28"/>
        </w:rPr>
        <w:lastRenderedPageBreak/>
        <w:t>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w:t>
      </w:r>
      <w:r w:rsidRPr="004436FA">
        <w:rPr>
          <w:rFonts w:ascii="Times New Roman" w:hAnsi="Times New Roman" w:cs="Times New Roman"/>
          <w:sz w:val="28"/>
          <w:szCs w:val="28"/>
        </w:rPr>
        <w:lastRenderedPageBreak/>
        <w:t xml:space="preserve">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w:t>
      </w:r>
      <w:r w:rsidRPr="004436FA">
        <w:rPr>
          <w:rFonts w:ascii="Times New Roman" w:hAnsi="Times New Roman" w:cs="Times New Roman"/>
          <w:sz w:val="28"/>
          <w:szCs w:val="28"/>
        </w:rPr>
        <w:lastRenderedPageBreak/>
        <w:t xml:space="preserve">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w:t>
      </w:r>
      <w:r w:rsidRPr="004436FA">
        <w:rPr>
          <w:rFonts w:ascii="Times New Roman" w:hAnsi="Times New Roman" w:cs="Times New Roman"/>
          <w:sz w:val="28"/>
          <w:szCs w:val="28"/>
        </w:rPr>
        <w:lastRenderedPageBreak/>
        <w:t>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proofErr w:type="gramStart"/>
      <w:r w:rsidRPr="004436FA">
        <w:t>насколько</w:t>
      </w:r>
      <w:proofErr w:type="gramEnd"/>
      <w:r w:rsidRPr="004436FA">
        <w:t xml:space="preserve">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proofErr w:type="gramStart"/>
      <w:r w:rsidRPr="004436FA">
        <w:t>насколько</w:t>
      </w:r>
      <w:proofErr w:type="gramEnd"/>
      <w:r w:rsidRPr="004436FA">
        <w:t xml:space="preserve">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proofErr w:type="gramStart"/>
      <w:r w:rsidRPr="004436FA">
        <w:t>насколько</w:t>
      </w:r>
      <w:proofErr w:type="gramEnd"/>
      <w:r w:rsidRPr="004436FA">
        <w:t xml:space="preserve">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r w:rsidRPr="004436FA">
        <w:rPr>
          <w:rFonts w:ascii="Times New Roman" w:hAnsi="Times New Roman" w:cs="Times New Roman"/>
          <w:sz w:val="28"/>
          <w:szCs w:val="28"/>
        </w:rPr>
        <w:lastRenderedPageBreak/>
        <w:t>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w:t>
      </w:r>
      <w:proofErr w:type="gramStart"/>
      <w:r w:rsidRPr="004436FA">
        <w:rPr>
          <w:rFonts w:ascii="Times New Roman" w:hAnsi="Times New Roman" w:cs="Times New Roman"/>
          <w:sz w:val="28"/>
          <w:szCs w:val="28"/>
        </w:rPr>
        <w:t>если  вследствие</w:t>
      </w:r>
      <w:proofErr w:type="gramEnd"/>
      <w:r w:rsidRPr="004436FA">
        <w:rPr>
          <w:rFonts w:ascii="Times New Roman" w:hAnsi="Times New Roman" w:cs="Times New Roman"/>
          <w:sz w:val="28"/>
          <w:szCs w:val="28"/>
        </w:rPr>
        <w:t xml:space="preserve">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w:t>
      </w:r>
      <w:r w:rsidRPr="004436FA">
        <w:rPr>
          <w:rFonts w:ascii="Times New Roman" w:hAnsi="Times New Roman" w:cs="Times New Roman"/>
          <w:sz w:val="28"/>
          <w:szCs w:val="28"/>
        </w:rPr>
        <w:lastRenderedPageBreak/>
        <w:t xml:space="preserve">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w:t>
      </w:r>
      <w:r w:rsidRPr="004436FA">
        <w:rPr>
          <w:rFonts w:ascii="Times New Roman" w:hAnsi="Times New Roman" w:cs="Times New Roman"/>
          <w:sz w:val="28"/>
          <w:szCs w:val="28"/>
        </w:rPr>
        <w:lastRenderedPageBreak/>
        <w:t xml:space="preserve">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w:t>
      </w:r>
      <w:r w:rsidRPr="004436FA">
        <w:rPr>
          <w:rFonts w:ascii="Times New Roman" w:hAnsi="Times New Roman" w:cs="Times New Roman"/>
          <w:sz w:val="28"/>
          <w:szCs w:val="28"/>
        </w:rPr>
        <w:lastRenderedPageBreak/>
        <w:t>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lastRenderedPageBreak/>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proofErr w:type="gramStart"/>
      <w:r w:rsidRPr="004436FA">
        <w:rPr>
          <w:rFonts w:ascii="Times New Roman" w:hAnsi="Times New Roman" w:cs="Times New Roman"/>
          <w:sz w:val="28"/>
          <w:szCs w:val="28"/>
        </w:rPr>
        <w:t>годовая</w:t>
      </w:r>
      <w:proofErr w:type="gramEnd"/>
      <w:r w:rsidRPr="004436FA">
        <w:rPr>
          <w:rFonts w:ascii="Times New Roman" w:hAnsi="Times New Roman" w:cs="Times New Roman"/>
          <w:sz w:val="28"/>
          <w:szCs w:val="28"/>
        </w:rPr>
        <w:t xml:space="preserve">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w:t>
      </w:r>
      <w:proofErr w:type="gramStart"/>
      <w:r w:rsidRPr="004436FA">
        <w:rPr>
          <w:rFonts w:ascii="Times New Roman" w:hAnsi="Times New Roman" w:cs="Times New Roman"/>
          <w:sz w:val="28"/>
          <w:szCs w:val="28"/>
        </w:rPr>
        <w:t>руб..</w:t>
      </w:r>
      <w:proofErr w:type="gramEnd"/>
      <w:r w:rsidRPr="004436FA">
        <w:rPr>
          <w:rFonts w:ascii="Times New Roman" w:hAnsi="Times New Roman" w:cs="Times New Roman"/>
          <w:sz w:val="28"/>
          <w:szCs w:val="28"/>
        </w:rPr>
        <w:t xml:space="preserve">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w:t>
      </w:r>
      <w:r w:rsidRPr="004436FA">
        <w:rPr>
          <w:rFonts w:ascii="Times New Roman" w:hAnsi="Times New Roman" w:cs="Times New Roman"/>
          <w:sz w:val="28"/>
          <w:szCs w:val="28"/>
        </w:rPr>
        <w:lastRenderedPageBreak/>
        <w:t xml:space="preserve">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lastRenderedPageBreak/>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w:t>
      </w:r>
      <w:proofErr w:type="gramStart"/>
      <w:r w:rsidRPr="004436FA">
        <w:rPr>
          <w:rFonts w:ascii="Times New Roman" w:hAnsi="Times New Roman" w:cs="Times New Roman"/>
          <w:sz w:val="28"/>
          <w:szCs w:val="28"/>
        </w:rPr>
        <w:t>. посвящен</w:t>
      </w:r>
      <w:proofErr w:type="gramEnd"/>
      <w:r w:rsidRPr="004436FA">
        <w:rPr>
          <w:rFonts w:ascii="Times New Roman" w:hAnsi="Times New Roman" w:cs="Times New Roman"/>
          <w:sz w:val="28"/>
          <w:szCs w:val="28"/>
        </w:rPr>
        <w:t xml:space="preserve">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proofErr w:type="gramStart"/>
      <w:r w:rsidRPr="004436FA">
        <w:t>насколько</w:t>
      </w:r>
      <w:proofErr w:type="gramEnd"/>
      <w:r w:rsidRPr="004436FA">
        <w:t xml:space="preserve">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proofErr w:type="gramStart"/>
      <w:r w:rsidRPr="004436FA">
        <w:t>каковы</w:t>
      </w:r>
      <w:proofErr w:type="gramEnd"/>
      <w:r w:rsidRPr="004436FA">
        <w:t xml:space="preserve">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w:t>
      </w:r>
      <w:r w:rsidRPr="004436FA">
        <w:rPr>
          <w:rFonts w:ascii="Times New Roman" w:hAnsi="Times New Roman" w:cs="Times New Roman"/>
          <w:sz w:val="28"/>
          <w:szCs w:val="28"/>
        </w:rPr>
        <w:lastRenderedPageBreak/>
        <w:t xml:space="preserve">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w:t>
      </w:r>
      <w:r w:rsidRPr="004436FA">
        <w:rPr>
          <w:rFonts w:ascii="Times New Roman" w:hAnsi="Times New Roman" w:cs="Times New Roman"/>
          <w:sz w:val="28"/>
          <w:szCs w:val="28"/>
        </w:rPr>
        <w:lastRenderedPageBreak/>
        <w:t>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0"/>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Не меньший ущерб, чем монополистическая деятельность, способна нанести   недобросовестная конкуренция – злоупотребления, от которых </w:t>
      </w:r>
      <w:r w:rsidRPr="004436FA">
        <w:rPr>
          <w:rFonts w:ascii="Times New Roman" w:hAnsi="Times New Roman" w:cs="Times New Roman"/>
          <w:sz w:val="28"/>
          <w:szCs w:val="28"/>
        </w:rPr>
        <w:lastRenderedPageBreak/>
        <w:t>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proofErr w:type="gramStart"/>
      <w:r w:rsidRPr="004436FA">
        <w:rPr>
          <w:rFonts w:ascii="Times New Roman" w:hAnsi="Times New Roman" w:cs="Times New Roman"/>
          <w:sz w:val="28"/>
          <w:szCs w:val="28"/>
        </w:rPr>
        <w:t>где</w:t>
      </w:r>
      <w:proofErr w:type="gramEnd"/>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 xml:space="preserve">Один из наиболее крупных хозяйствующих субъектов на данном рынке, АО «Компания Б», занимающее 40% доли рынка, обратилось с жалобой в антимонопольный орган, в </w:t>
      </w:r>
      <w:proofErr w:type="gramStart"/>
      <w:r w:rsidRPr="004436FA">
        <w:rPr>
          <w:rFonts w:ascii="Times New Roman" w:hAnsi="Times New Roman"/>
          <w:sz w:val="28"/>
          <w:szCs w:val="28"/>
        </w:rPr>
        <w:t>результате  чего</w:t>
      </w:r>
      <w:proofErr w:type="gramEnd"/>
      <w:r w:rsidRPr="004436FA">
        <w:rPr>
          <w:rFonts w:ascii="Times New Roman" w:hAnsi="Times New Roman"/>
          <w:sz w:val="28"/>
          <w:szCs w:val="28"/>
        </w:rPr>
        <w:t xml:space="preserve">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w:t>
      </w:r>
      <w:r w:rsidRPr="004436FA">
        <w:rPr>
          <w:rFonts w:ascii="Times New Roman" w:hAnsi="Times New Roman"/>
          <w:sz w:val="28"/>
          <w:szCs w:val="28"/>
        </w:rPr>
        <w:lastRenderedPageBreak/>
        <w:t>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w:t>
      </w:r>
      <w:r w:rsidRPr="004436FA">
        <w:rPr>
          <w:rFonts w:ascii="Times New Roman" w:hAnsi="Times New Roman" w:cs="Times New Roman"/>
          <w:sz w:val="28"/>
          <w:szCs w:val="28"/>
        </w:rPr>
        <w:lastRenderedPageBreak/>
        <w:t>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 w14:anchorId="07B2E90A"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w:t>
      </w:r>
      <w:r>
        <w:rPr>
          <w:sz w:val="28"/>
          <w:szCs w:val="28"/>
        </w:rPr>
        <w:lastRenderedPageBreak/>
        <w:t>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lastRenderedPageBreak/>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w:t>
      </w:r>
      <w:r w:rsidRPr="0059345A">
        <w:rPr>
          <w:sz w:val="28"/>
          <w:szCs w:val="28"/>
        </w:rPr>
        <w:lastRenderedPageBreak/>
        <w:t>сетевых организаций на территории субъекта Российской Федерации,</w:t>
      </w:r>
      <w:r>
        <w:rPr>
          <w:sz w:val="28"/>
          <w:szCs w:val="28"/>
        </w:rPr>
        <w:t xml:space="preserve"> </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электросетевого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lastRenderedPageBreak/>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х</w:t>
      </w:r>
      <w:r>
        <w:rPr>
          <w:i/>
          <w:sz w:val="28"/>
          <w:szCs w:val="28"/>
        </w:rPr>
        <w:t xml:space="preserve">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не соответствующих критериям отнесения к территориальным сетевым организациям, не</w:t>
      </w:r>
      <w:r>
        <w:rPr>
          <w:b/>
          <w:bCs/>
          <w:iCs/>
          <w:sz w:val="28"/>
          <w:szCs w:val="28"/>
        </w:rPr>
        <w:t xml:space="preserve">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w:t>
      </w:r>
      <w:r w:rsidRPr="000E36EB">
        <w:rPr>
          <w:sz w:val="28"/>
          <w:szCs w:val="28"/>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Кроме того, с учетом положений статьи 210 ГК РФ</w:t>
      </w:r>
      <w:r>
        <w:rPr>
          <w:sz w:val="28"/>
          <w:szCs w:val="28"/>
        </w:rPr>
        <w:t xml:space="preserve"> </w:t>
      </w:r>
      <w:r>
        <w:rPr>
          <w:sz w:val="28"/>
          <w:szCs w:val="28"/>
        </w:rPr>
        <w:t xml:space="preserve">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Решением Президиума ФАС России жалоба ООО «Башкирская лифтовая компания» на решение Управления Федеральной антимонопольной </w:t>
      </w:r>
      <w:r w:rsidRPr="00B243F6">
        <w:rPr>
          <w:rFonts w:ascii="Times New Roman" w:eastAsia="Times New Roman" w:hAnsi="Times New Roman" w:cs="Times New Roman"/>
          <w:sz w:val="28"/>
          <w:szCs w:val="28"/>
        </w:rPr>
        <w:lastRenderedPageBreak/>
        <w:t>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w:t>
      </w:r>
      <w:r w:rsidRPr="00B243F6">
        <w:rPr>
          <w:rFonts w:ascii="Times New Roman" w:eastAsia="Times New Roman" w:hAnsi="Times New Roman" w:cs="Times New Roman"/>
          <w:color w:val="000000"/>
          <w:sz w:val="28"/>
          <w:szCs w:val="28"/>
          <w:shd w:val="clear" w:color="auto" w:fill="FFFFFF"/>
        </w:rPr>
        <w:lastRenderedPageBreak/>
        <w:t>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1. Установленное в рамках рассмотрения дела поведение ответчиков при проведении торгов, а именно, отсутствие предложений ООО </w:t>
      </w:r>
      <w:r w:rsidRPr="00B243F6">
        <w:rPr>
          <w:rFonts w:ascii="Times New Roman" w:eastAsia="MS Mincho" w:hAnsi="Times New Roman" w:cs="Times New Roman"/>
          <w:color w:val="000000"/>
          <w:sz w:val="28"/>
          <w:szCs w:val="28"/>
          <w:lang w:eastAsia="ru-RU"/>
        </w:rPr>
        <w:lastRenderedPageBreak/>
        <w:t>«</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w:t>
      </w:r>
      <w:r w:rsidRPr="00B243F6">
        <w:rPr>
          <w:rFonts w:ascii="Times New Roman" w:eastAsia="MS Mincho" w:hAnsi="Times New Roman" w:cs="Times New Roman"/>
          <w:sz w:val="28"/>
          <w:szCs w:val="28"/>
          <w:shd w:val="clear" w:color="auto" w:fill="FFFFFF"/>
          <w:lang w:eastAsia="ru-RU"/>
        </w:rPr>
        <w:lastRenderedPageBreak/>
        <w:t xml:space="preserve">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w:t>
      </w:r>
      <w:r w:rsidRPr="00B243F6">
        <w:rPr>
          <w:rFonts w:ascii="Times New Roman" w:eastAsia="Times New Roman" w:hAnsi="Times New Roman" w:cs="Times New Roman"/>
          <w:color w:val="000000"/>
          <w:sz w:val="28"/>
          <w:szCs w:val="28"/>
          <w:shd w:val="clear" w:color="auto" w:fill="FFFFFF"/>
        </w:rPr>
        <w:lastRenderedPageBreak/>
        <w:t xml:space="preserve">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lastRenderedPageBreak/>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w:t>
      </w:r>
      <w:r w:rsidRPr="00B243F6">
        <w:rPr>
          <w:rFonts w:ascii="Times New Roman" w:eastAsia="MS Mincho" w:hAnsi="Times New Roman" w:cs="Times New Roman"/>
          <w:color w:val="000000"/>
          <w:sz w:val="28"/>
          <w:szCs w:val="28"/>
          <w:lang w:eastAsia="ru-RU"/>
        </w:rPr>
        <w:lastRenderedPageBreak/>
        <w:t xml:space="preserve">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коллегиальном органе ФАС России может быть обжаловано как отдельно решение территориального антимонопольного органа (без </w:t>
      </w:r>
      <w:r w:rsidRPr="00B243F6">
        <w:rPr>
          <w:rFonts w:ascii="Times New Roman" w:eastAsia="Times New Roman" w:hAnsi="Times New Roman" w:cs="Times New Roman"/>
          <w:sz w:val="28"/>
          <w:szCs w:val="28"/>
        </w:rPr>
        <w:lastRenderedPageBreak/>
        <w:t>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Федеральный закон «О защите конкуренции» не устанавливает, что датой вступления в силу решения коллегиального органа ФАС России </w:t>
      </w:r>
      <w:r w:rsidRPr="00B243F6">
        <w:rPr>
          <w:rFonts w:ascii="Times New Roman" w:eastAsia="Times New Roman" w:hAnsi="Times New Roman" w:cs="Times New Roman"/>
          <w:sz w:val="28"/>
          <w:szCs w:val="28"/>
        </w:rPr>
        <w:lastRenderedPageBreak/>
        <w:t>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DB066E">
          <w:rPr>
            <w:noProof/>
          </w:rPr>
          <w:t>184</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w:t>
      </w:r>
      <w:proofErr w:type="gramStart"/>
      <w:r w:rsidRPr="00EB4E01">
        <w:rPr>
          <w:rFonts w:ascii="Times New Roman" w:hAnsi="Times New Roman"/>
        </w:rPr>
        <w:t>Федерации  от</w:t>
      </w:r>
      <w:proofErr w:type="gramEnd"/>
      <w:r w:rsidRPr="00EB4E01">
        <w:rPr>
          <w:rFonts w:ascii="Times New Roman" w:hAnsi="Times New Roman"/>
        </w:rPr>
        <w:t xml:space="preserve">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A. Mas-</w:t>
      </w:r>
      <w:proofErr w:type="spellStart"/>
      <w:r w:rsidRPr="005D22E1">
        <w:rPr>
          <w:rFonts w:ascii="Times New Roman" w:hAnsi="Times New Roman"/>
          <w:sz w:val="18"/>
          <w:szCs w:val="18"/>
          <w:lang w:val="en-US"/>
        </w:rPr>
        <w:t>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smooth val="0"/>
        <c:axId val="391067512"/>
        <c:axId val="391071040"/>
      </c:lineChart>
      <c:catAx>
        <c:axId val="391067512"/>
        <c:scaling>
          <c:orientation val="minMax"/>
        </c:scaling>
        <c:delete val="0"/>
        <c:axPos val="b"/>
        <c:numFmt formatCode="General" sourceLinked="1"/>
        <c:majorTickMark val="out"/>
        <c:minorTickMark val="none"/>
        <c:tickLblPos val="nextTo"/>
        <c:txPr>
          <a:bodyPr rot="-2700000"/>
          <a:lstStyle/>
          <a:p>
            <a:pPr>
              <a:defRPr/>
            </a:pPr>
            <a:endParaRPr lang="ru-RU"/>
          </a:p>
        </c:txPr>
        <c:crossAx val="391071040"/>
        <c:crosses val="autoZero"/>
        <c:auto val="1"/>
        <c:lblAlgn val="ctr"/>
        <c:lblOffset val="100"/>
        <c:tickLblSkip val="1"/>
        <c:noMultiLvlLbl val="0"/>
      </c:catAx>
      <c:valAx>
        <c:axId val="391071040"/>
        <c:scaling>
          <c:orientation val="minMax"/>
          <c:min val="6"/>
        </c:scaling>
        <c:delete val="0"/>
        <c:axPos val="l"/>
        <c:majorGridlines/>
        <c:numFmt formatCode="General" sourceLinked="1"/>
        <c:majorTickMark val="out"/>
        <c:minorTickMark val="none"/>
        <c:tickLblPos val="nextTo"/>
        <c:crossAx val="39106751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smooth val="0"/>
        <c:axId val="391067904"/>
        <c:axId val="391071432"/>
      </c:lineChart>
      <c:catAx>
        <c:axId val="391067904"/>
        <c:scaling>
          <c:orientation val="minMax"/>
        </c:scaling>
        <c:delete val="0"/>
        <c:axPos val="b"/>
        <c:numFmt formatCode="General" sourceLinked="1"/>
        <c:majorTickMark val="out"/>
        <c:minorTickMark val="none"/>
        <c:tickLblPos val="nextTo"/>
        <c:txPr>
          <a:bodyPr rot="-2700000"/>
          <a:lstStyle/>
          <a:p>
            <a:pPr>
              <a:defRPr/>
            </a:pPr>
            <a:endParaRPr lang="ru-RU"/>
          </a:p>
        </c:txPr>
        <c:crossAx val="391071432"/>
        <c:crosses val="autoZero"/>
        <c:auto val="1"/>
        <c:lblAlgn val="ctr"/>
        <c:lblOffset val="100"/>
        <c:noMultiLvlLbl val="0"/>
      </c:catAx>
      <c:valAx>
        <c:axId val="391071432"/>
        <c:scaling>
          <c:orientation val="minMax"/>
          <c:min val="6"/>
        </c:scaling>
        <c:delete val="0"/>
        <c:axPos val="l"/>
        <c:majorGridlines/>
        <c:numFmt formatCode="General" sourceLinked="1"/>
        <c:majorTickMark val="out"/>
        <c:minorTickMark val="none"/>
        <c:tickLblPos val="nextTo"/>
        <c:crossAx val="39106790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smooth val="0"/>
        <c:axId val="391069080"/>
        <c:axId val="391067120"/>
      </c:lineChart>
      <c:catAx>
        <c:axId val="391069080"/>
        <c:scaling>
          <c:orientation val="minMax"/>
        </c:scaling>
        <c:delete val="0"/>
        <c:axPos val="b"/>
        <c:numFmt formatCode="General" sourceLinked="1"/>
        <c:majorTickMark val="out"/>
        <c:minorTickMark val="none"/>
        <c:tickLblPos val="nextTo"/>
        <c:crossAx val="391067120"/>
        <c:crosses val="autoZero"/>
        <c:auto val="1"/>
        <c:lblAlgn val="ctr"/>
        <c:lblOffset val="100"/>
        <c:noMultiLvlLbl val="0"/>
      </c:catAx>
      <c:valAx>
        <c:axId val="391067120"/>
        <c:scaling>
          <c:orientation val="minMax"/>
          <c:min val="6"/>
        </c:scaling>
        <c:delete val="0"/>
        <c:axPos val="l"/>
        <c:majorGridlines/>
        <c:numFmt formatCode="General" sourceLinked="1"/>
        <c:majorTickMark val="out"/>
        <c:minorTickMark val="none"/>
        <c:tickLblPos val="nextTo"/>
        <c:crossAx val="39106908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391066336"/>
        <c:axId val="391065944"/>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391068296"/>
        <c:axId val="391065160"/>
      </c:scatterChart>
      <c:catAx>
        <c:axId val="391066336"/>
        <c:scaling>
          <c:orientation val="minMax"/>
        </c:scaling>
        <c:delete val="0"/>
        <c:axPos val="b"/>
        <c:numFmt formatCode="General" sourceLinked="1"/>
        <c:majorTickMark val="out"/>
        <c:minorTickMark val="none"/>
        <c:tickLblPos val="nextTo"/>
        <c:crossAx val="391065944"/>
        <c:crosses val="autoZero"/>
        <c:auto val="1"/>
        <c:lblAlgn val="ctr"/>
        <c:lblOffset val="100"/>
        <c:tickMarkSkip val="3"/>
        <c:noMultiLvlLbl val="0"/>
      </c:catAx>
      <c:valAx>
        <c:axId val="391065944"/>
        <c:scaling>
          <c:orientation val="minMax"/>
          <c:max val="0.27"/>
          <c:min val="0"/>
        </c:scaling>
        <c:delete val="0"/>
        <c:axPos val="l"/>
        <c:majorGridlines/>
        <c:numFmt formatCode="0%" sourceLinked="0"/>
        <c:majorTickMark val="out"/>
        <c:minorTickMark val="none"/>
        <c:tickLblPos val="nextTo"/>
        <c:crossAx val="391066336"/>
        <c:crosses val="autoZero"/>
        <c:crossBetween val="midCat"/>
        <c:majorUnit val="0.1"/>
      </c:valAx>
      <c:valAx>
        <c:axId val="391068296"/>
        <c:scaling>
          <c:orientation val="minMax"/>
        </c:scaling>
        <c:delete val="1"/>
        <c:axPos val="t"/>
        <c:numFmt formatCode="General" sourceLinked="1"/>
        <c:majorTickMark val="out"/>
        <c:minorTickMark val="none"/>
        <c:tickLblPos val="none"/>
        <c:crossAx val="391065160"/>
        <c:crosses val="max"/>
        <c:crossBetween val="midCat"/>
      </c:valAx>
      <c:valAx>
        <c:axId val="391065160"/>
        <c:scaling>
          <c:orientation val="minMax"/>
        </c:scaling>
        <c:delete val="1"/>
        <c:axPos val="r"/>
        <c:numFmt formatCode="General" sourceLinked="1"/>
        <c:majorTickMark val="out"/>
        <c:minorTickMark val="none"/>
        <c:tickLblPos val="none"/>
        <c:crossAx val="391068296"/>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203682512"/>
        <c:axId val="203680552"/>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03682512"/>
        <c:axId val="203680552"/>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03680944"/>
        <c:axId val="203681728"/>
      </c:scatterChart>
      <c:catAx>
        <c:axId val="203682512"/>
        <c:scaling>
          <c:orientation val="minMax"/>
        </c:scaling>
        <c:delete val="0"/>
        <c:axPos val="b"/>
        <c:numFmt formatCode="General" sourceLinked="1"/>
        <c:majorTickMark val="out"/>
        <c:minorTickMark val="none"/>
        <c:tickLblPos val="nextTo"/>
        <c:crossAx val="203680552"/>
        <c:crosses val="autoZero"/>
        <c:auto val="1"/>
        <c:lblAlgn val="ctr"/>
        <c:lblOffset val="100"/>
        <c:tickMarkSkip val="3"/>
        <c:noMultiLvlLbl val="0"/>
      </c:catAx>
      <c:valAx>
        <c:axId val="203680552"/>
        <c:scaling>
          <c:orientation val="minMax"/>
          <c:max val="0.27"/>
          <c:min val="0"/>
        </c:scaling>
        <c:delete val="0"/>
        <c:axPos val="l"/>
        <c:majorGridlines/>
        <c:numFmt formatCode="General" sourceLinked="1"/>
        <c:majorTickMark val="out"/>
        <c:minorTickMark val="none"/>
        <c:tickLblPos val="none"/>
        <c:crossAx val="203682512"/>
        <c:crosses val="autoZero"/>
        <c:crossBetween val="midCat"/>
        <c:majorUnit val="0.1"/>
      </c:valAx>
      <c:valAx>
        <c:axId val="203680944"/>
        <c:scaling>
          <c:orientation val="minMax"/>
        </c:scaling>
        <c:delete val="1"/>
        <c:axPos val="t"/>
        <c:numFmt formatCode="General" sourceLinked="1"/>
        <c:majorTickMark val="out"/>
        <c:minorTickMark val="none"/>
        <c:tickLblPos val="none"/>
        <c:crossAx val="203681728"/>
        <c:crosses val="max"/>
        <c:crossBetween val="midCat"/>
      </c:valAx>
      <c:valAx>
        <c:axId val="203681728"/>
        <c:scaling>
          <c:orientation val="minMax"/>
        </c:scaling>
        <c:delete val="1"/>
        <c:axPos val="r"/>
        <c:numFmt formatCode="General" sourceLinked="1"/>
        <c:majorTickMark val="out"/>
        <c:minorTickMark val="none"/>
        <c:tickLblPos val="none"/>
        <c:crossAx val="203680944"/>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03680160"/>
        <c:axId val="203679768"/>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03678984"/>
        <c:axId val="203679376"/>
      </c:scatterChart>
      <c:catAx>
        <c:axId val="203680160"/>
        <c:scaling>
          <c:orientation val="minMax"/>
        </c:scaling>
        <c:delete val="0"/>
        <c:axPos val="b"/>
        <c:numFmt formatCode="General" sourceLinked="1"/>
        <c:majorTickMark val="out"/>
        <c:minorTickMark val="none"/>
        <c:tickLblPos val="nextTo"/>
        <c:crossAx val="203679768"/>
        <c:crosses val="autoZero"/>
        <c:auto val="1"/>
        <c:lblAlgn val="ctr"/>
        <c:lblOffset val="100"/>
        <c:tickMarkSkip val="3"/>
        <c:noMultiLvlLbl val="0"/>
      </c:catAx>
      <c:valAx>
        <c:axId val="203679768"/>
        <c:scaling>
          <c:orientation val="minMax"/>
          <c:max val="130"/>
          <c:min val="0"/>
        </c:scaling>
        <c:delete val="0"/>
        <c:axPos val="l"/>
        <c:majorGridlines/>
        <c:numFmt formatCode="#,##0_);\(#,##0\)" sourceLinked="0"/>
        <c:majorTickMark val="out"/>
        <c:minorTickMark val="none"/>
        <c:tickLblPos val="nextTo"/>
        <c:crossAx val="203680160"/>
        <c:crosses val="autoZero"/>
        <c:crossBetween val="midCat"/>
        <c:majorUnit val="20"/>
      </c:valAx>
      <c:valAx>
        <c:axId val="203679376"/>
        <c:scaling>
          <c:orientation val="minMax"/>
        </c:scaling>
        <c:delete val="1"/>
        <c:axPos val="r"/>
        <c:numFmt formatCode="General" sourceLinked="1"/>
        <c:majorTickMark val="out"/>
        <c:minorTickMark val="none"/>
        <c:tickLblPos val="none"/>
        <c:crossAx val="203678984"/>
        <c:crosses val="max"/>
        <c:crossBetween val="midCat"/>
      </c:valAx>
      <c:valAx>
        <c:axId val="203678984"/>
        <c:scaling>
          <c:orientation val="minMax"/>
        </c:scaling>
        <c:delete val="1"/>
        <c:axPos val="t"/>
        <c:numFmt formatCode="General" sourceLinked="1"/>
        <c:majorTickMark val="out"/>
        <c:minorTickMark val="none"/>
        <c:tickLblPos val="none"/>
        <c:crossAx val="203679376"/>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399193936"/>
        <c:axId val="399185704"/>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03678200"/>
        <c:axId val="203677808"/>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399193936"/>
        <c:axId val="399185704"/>
      </c:scatterChart>
      <c:catAx>
        <c:axId val="203678200"/>
        <c:scaling>
          <c:orientation val="minMax"/>
        </c:scaling>
        <c:delete val="0"/>
        <c:axPos val="b"/>
        <c:numFmt formatCode="General" sourceLinked="1"/>
        <c:majorTickMark val="out"/>
        <c:minorTickMark val="none"/>
        <c:tickLblPos val="nextTo"/>
        <c:crossAx val="203677808"/>
        <c:crosses val="autoZero"/>
        <c:auto val="1"/>
        <c:lblAlgn val="ctr"/>
        <c:lblOffset val="100"/>
        <c:tickMarkSkip val="3"/>
        <c:noMultiLvlLbl val="0"/>
      </c:catAx>
      <c:valAx>
        <c:axId val="203677808"/>
        <c:scaling>
          <c:orientation val="minMax"/>
          <c:max val="130"/>
          <c:min val="0"/>
        </c:scaling>
        <c:delete val="0"/>
        <c:axPos val="l"/>
        <c:majorGridlines/>
        <c:numFmt formatCode="#,##0_);\(#,##0\)" sourceLinked="0"/>
        <c:majorTickMark val="out"/>
        <c:minorTickMark val="none"/>
        <c:tickLblPos val="nextTo"/>
        <c:crossAx val="203678200"/>
        <c:crosses val="autoZero"/>
        <c:crossBetween val="between"/>
        <c:majorUnit val="20"/>
      </c:valAx>
      <c:valAx>
        <c:axId val="399185704"/>
        <c:scaling>
          <c:orientation val="minMax"/>
        </c:scaling>
        <c:delete val="1"/>
        <c:axPos val="r"/>
        <c:numFmt formatCode="General" sourceLinked="1"/>
        <c:majorTickMark val="out"/>
        <c:minorTickMark val="none"/>
        <c:tickLblPos val="none"/>
        <c:crossAx val="399193936"/>
        <c:crosses val="max"/>
        <c:crossBetween val="between"/>
      </c:valAx>
      <c:catAx>
        <c:axId val="399193936"/>
        <c:scaling>
          <c:orientation val="minMax"/>
        </c:scaling>
        <c:delete val="1"/>
        <c:axPos val="t"/>
        <c:numFmt formatCode="General" sourceLinked="1"/>
        <c:majorTickMark val="out"/>
        <c:minorTickMark val="none"/>
        <c:tickLblPos val="none"/>
        <c:crossAx val="39918570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399193152"/>
        <c:axId val="399192760"/>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399186096"/>
        <c:axId val="399185312"/>
      </c:scatterChart>
      <c:catAx>
        <c:axId val="399193152"/>
        <c:scaling>
          <c:orientation val="minMax"/>
        </c:scaling>
        <c:delete val="0"/>
        <c:axPos val="b"/>
        <c:numFmt formatCode="General" sourceLinked="1"/>
        <c:majorTickMark val="out"/>
        <c:minorTickMark val="none"/>
        <c:tickLblPos val="nextTo"/>
        <c:crossAx val="399192760"/>
        <c:crosses val="autoZero"/>
        <c:auto val="1"/>
        <c:lblAlgn val="ctr"/>
        <c:lblOffset val="100"/>
        <c:tickMarkSkip val="3"/>
        <c:noMultiLvlLbl val="0"/>
      </c:catAx>
      <c:valAx>
        <c:axId val="399192760"/>
        <c:scaling>
          <c:orientation val="minMax"/>
          <c:max val="0.55000000000000004"/>
          <c:min val="0"/>
        </c:scaling>
        <c:delete val="0"/>
        <c:axPos val="l"/>
        <c:majorGridlines/>
        <c:numFmt formatCode="0%" sourceLinked="0"/>
        <c:majorTickMark val="out"/>
        <c:minorTickMark val="none"/>
        <c:tickLblPos val="nextTo"/>
        <c:crossAx val="399193152"/>
        <c:crosses val="autoZero"/>
        <c:crossBetween val="midCat"/>
        <c:majorUnit val="0.2"/>
      </c:valAx>
      <c:valAx>
        <c:axId val="399185312"/>
        <c:scaling>
          <c:orientation val="minMax"/>
        </c:scaling>
        <c:delete val="1"/>
        <c:axPos val="r"/>
        <c:numFmt formatCode="General" sourceLinked="1"/>
        <c:majorTickMark val="out"/>
        <c:minorTickMark val="none"/>
        <c:tickLblPos val="none"/>
        <c:crossAx val="399186096"/>
        <c:crosses val="max"/>
        <c:crossBetween val="midCat"/>
      </c:valAx>
      <c:valAx>
        <c:axId val="399186096"/>
        <c:scaling>
          <c:orientation val="minMax"/>
        </c:scaling>
        <c:delete val="1"/>
        <c:axPos val="t"/>
        <c:numFmt formatCode="General" sourceLinked="1"/>
        <c:majorTickMark val="out"/>
        <c:minorTickMark val="none"/>
        <c:tickLblPos val="none"/>
        <c:crossAx val="399185312"/>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399192368"/>
        <c:axId val="399191192"/>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399188056"/>
        <c:axId val="399188448"/>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399192368"/>
        <c:axId val="399191192"/>
      </c:scatterChart>
      <c:catAx>
        <c:axId val="399188056"/>
        <c:scaling>
          <c:orientation val="minMax"/>
        </c:scaling>
        <c:delete val="0"/>
        <c:axPos val="b"/>
        <c:numFmt formatCode="General" sourceLinked="1"/>
        <c:majorTickMark val="out"/>
        <c:minorTickMark val="none"/>
        <c:tickLblPos val="nextTo"/>
        <c:crossAx val="399188448"/>
        <c:crosses val="autoZero"/>
        <c:auto val="1"/>
        <c:lblAlgn val="ctr"/>
        <c:lblOffset val="100"/>
        <c:tickMarkSkip val="3"/>
        <c:noMultiLvlLbl val="0"/>
      </c:catAx>
      <c:valAx>
        <c:axId val="399188448"/>
        <c:scaling>
          <c:orientation val="minMax"/>
          <c:max val="140"/>
          <c:min val="0"/>
        </c:scaling>
        <c:delete val="0"/>
        <c:axPos val="l"/>
        <c:majorGridlines/>
        <c:numFmt formatCode="#,##0_);\(#,##0\)" sourceLinked="0"/>
        <c:majorTickMark val="out"/>
        <c:minorTickMark val="none"/>
        <c:tickLblPos val="nextTo"/>
        <c:crossAx val="399188056"/>
        <c:crosses val="autoZero"/>
        <c:crossBetween val="between"/>
        <c:majorUnit val="50"/>
      </c:valAx>
      <c:valAx>
        <c:axId val="399191192"/>
        <c:scaling>
          <c:orientation val="minMax"/>
        </c:scaling>
        <c:delete val="1"/>
        <c:axPos val="r"/>
        <c:numFmt formatCode="General" sourceLinked="1"/>
        <c:majorTickMark val="out"/>
        <c:minorTickMark val="none"/>
        <c:tickLblPos val="none"/>
        <c:crossAx val="399192368"/>
        <c:crosses val="max"/>
        <c:crossBetween val="between"/>
      </c:valAx>
      <c:catAx>
        <c:axId val="399192368"/>
        <c:scaling>
          <c:orientation val="minMax"/>
        </c:scaling>
        <c:delete val="1"/>
        <c:axPos val="t"/>
        <c:numFmt formatCode="General" sourceLinked="1"/>
        <c:majorTickMark val="out"/>
        <c:minorTickMark val="none"/>
        <c:tickLblPos val="none"/>
        <c:crossAx val="399191192"/>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90EF-0922-4FC5-9F56-26CA621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194</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Кокунова Юлия Евгеньевна</cp:lastModifiedBy>
  <cp:revision>6</cp:revision>
  <cp:lastPrinted>2017-05-30T15:02:00Z</cp:lastPrinted>
  <dcterms:created xsi:type="dcterms:W3CDTF">2017-09-19T10:00:00Z</dcterms:created>
  <dcterms:modified xsi:type="dcterms:W3CDTF">2017-12-07T15:18:00Z</dcterms:modified>
</cp:coreProperties>
</file>